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139" w:rsidRPr="00A36644" w:rsidRDefault="006A31AD" w:rsidP="005C4139">
      <w:pPr>
        <w:pStyle w:val="a3"/>
        <w:spacing w:line="400" w:lineRule="exact"/>
        <w:jc w:val="center"/>
        <w:rPr>
          <w:rFonts w:ascii="標楷體" w:eastAsia="標楷體" w:hAnsi="標楷體"/>
          <w:b/>
          <w:sz w:val="32"/>
          <w:szCs w:val="32"/>
        </w:rPr>
      </w:pPr>
      <w:r w:rsidRPr="00A36644">
        <w:rPr>
          <w:rFonts w:ascii="標楷體" w:eastAsia="標楷體" w:hAnsi="標楷體" w:hint="eastAsia"/>
          <w:b/>
          <w:sz w:val="32"/>
          <w:szCs w:val="32"/>
        </w:rPr>
        <w:t>109年計畫</w:t>
      </w:r>
      <w:r w:rsidR="005C4139" w:rsidRPr="00A36644">
        <w:rPr>
          <w:rFonts w:ascii="標楷體" w:eastAsia="標楷體" w:hAnsi="標楷體" w:hint="eastAsia"/>
          <w:b/>
          <w:sz w:val="32"/>
          <w:szCs w:val="32"/>
        </w:rPr>
        <w:t>目標達成情形摘要及亮點</w:t>
      </w:r>
    </w:p>
    <w:p w:rsidR="005C4139" w:rsidRPr="005C4139" w:rsidRDefault="005C4139" w:rsidP="005C4139">
      <w:pPr>
        <w:widowControl/>
        <w:numPr>
          <w:ilvl w:val="0"/>
          <w:numId w:val="1"/>
        </w:numPr>
        <w:spacing w:beforeLines="50" w:before="180" w:line="400" w:lineRule="exact"/>
        <w:ind w:left="567" w:hanging="567"/>
        <w:jc w:val="both"/>
        <w:rPr>
          <w:rFonts w:ascii="標楷體" w:eastAsia="標楷體" w:hAnsi="標楷體" w:cs="新細明體"/>
          <w:kern w:val="0"/>
          <w:szCs w:val="24"/>
        </w:rPr>
      </w:pPr>
      <w:r w:rsidRPr="005C4139">
        <w:rPr>
          <w:rFonts w:ascii="標楷體" w:eastAsia="標楷體" w:hAnsi="標楷體" w:cs="新細明體" w:hint="eastAsia"/>
          <w:kern w:val="0"/>
          <w:szCs w:val="24"/>
        </w:rPr>
        <w:t>透過成長社群、研習觀摩以及獎勵補助等措施，促發教師製作教材教具，創新教學模式，進行教學實踐研究，提升學習成效。</w:t>
      </w:r>
    </w:p>
    <w:p w:rsidR="005C4139" w:rsidRPr="005C4139" w:rsidRDefault="005C4139" w:rsidP="005C4139">
      <w:pPr>
        <w:widowControl/>
        <w:numPr>
          <w:ilvl w:val="1"/>
          <w:numId w:val="1"/>
        </w:numPr>
        <w:spacing w:line="400" w:lineRule="exact"/>
        <w:ind w:left="993" w:hanging="709"/>
        <w:jc w:val="both"/>
        <w:rPr>
          <w:rFonts w:ascii="標楷體" w:eastAsia="標楷體" w:hAnsi="標楷體" w:cs="新細明體"/>
          <w:kern w:val="0"/>
          <w:szCs w:val="24"/>
        </w:rPr>
      </w:pPr>
      <w:r w:rsidRPr="005C4139">
        <w:rPr>
          <w:rFonts w:ascii="標楷體" w:eastAsia="標楷體" w:hAnsi="標楷體" w:cs="新細明體" w:hint="eastAsia"/>
          <w:kern w:val="0"/>
          <w:szCs w:val="24"/>
        </w:rPr>
        <w:t>教學實踐研究計畫申請107-109年度累計申請32案，共12案獲得補助，金額達277萬餘元。109年度新增4案獲得補助，補助金額107萬餘元。</w:t>
      </w:r>
    </w:p>
    <w:p w:rsidR="005C4139" w:rsidRPr="005C4139" w:rsidRDefault="005C4139" w:rsidP="005C4139">
      <w:pPr>
        <w:widowControl/>
        <w:numPr>
          <w:ilvl w:val="1"/>
          <w:numId w:val="1"/>
        </w:numPr>
        <w:spacing w:line="400" w:lineRule="exact"/>
        <w:ind w:left="993" w:hanging="709"/>
        <w:jc w:val="both"/>
        <w:rPr>
          <w:rFonts w:ascii="標楷體" w:eastAsia="標楷體" w:hAnsi="標楷體" w:cs="新細明體"/>
          <w:kern w:val="0"/>
          <w:szCs w:val="24"/>
        </w:rPr>
      </w:pPr>
      <w:r w:rsidRPr="005C4139">
        <w:rPr>
          <w:rFonts w:ascii="標楷體" w:eastAsia="標楷體" w:hAnsi="標楷體" w:cs="新細明體" w:hint="eastAsia"/>
          <w:kern w:val="0"/>
          <w:szCs w:val="24"/>
        </w:rPr>
        <w:t>教材上網課程逐年增加，109年度每學期平均達500門。</w:t>
      </w:r>
    </w:p>
    <w:p w:rsidR="005C4139" w:rsidRPr="005C4139" w:rsidRDefault="005C4139" w:rsidP="005C4139">
      <w:pPr>
        <w:widowControl/>
        <w:numPr>
          <w:ilvl w:val="1"/>
          <w:numId w:val="1"/>
        </w:numPr>
        <w:spacing w:line="400" w:lineRule="exact"/>
        <w:ind w:left="993" w:hanging="709"/>
        <w:jc w:val="both"/>
        <w:rPr>
          <w:rFonts w:ascii="標楷體" w:eastAsia="標楷體" w:hAnsi="標楷體" w:cs="新細明體"/>
          <w:kern w:val="0"/>
          <w:szCs w:val="24"/>
        </w:rPr>
      </w:pPr>
      <w:r w:rsidRPr="005C4139">
        <w:rPr>
          <w:rFonts w:ascii="標楷體" w:eastAsia="標楷體" w:hAnsi="標楷體" w:cs="新細明體" w:hint="eastAsia"/>
          <w:kern w:val="0"/>
          <w:szCs w:val="24"/>
        </w:rPr>
        <w:t>109學年度採取創新</w:t>
      </w:r>
      <w:bookmarkStart w:id="0" w:name="_GoBack"/>
      <w:bookmarkEnd w:id="0"/>
      <w:r w:rsidRPr="005C4139">
        <w:rPr>
          <w:rFonts w:ascii="標楷體" w:eastAsia="標楷體" w:hAnsi="標楷體" w:cs="新細明體" w:hint="eastAsia"/>
          <w:kern w:val="0"/>
          <w:szCs w:val="24"/>
        </w:rPr>
        <w:t>教學模式專任教師數共42人，佔本校專任教師人數的35.9%，較前一學年度，成長16.7%。</w:t>
      </w:r>
    </w:p>
    <w:p w:rsidR="005C4139" w:rsidRPr="005C4139" w:rsidRDefault="005C4139" w:rsidP="005C4139">
      <w:pPr>
        <w:widowControl/>
        <w:numPr>
          <w:ilvl w:val="0"/>
          <w:numId w:val="1"/>
        </w:numPr>
        <w:spacing w:line="400" w:lineRule="exact"/>
        <w:ind w:left="567" w:hanging="567"/>
        <w:jc w:val="both"/>
        <w:rPr>
          <w:rFonts w:ascii="標楷體" w:eastAsia="標楷體" w:hAnsi="標楷體" w:cs="新細明體"/>
          <w:kern w:val="0"/>
          <w:szCs w:val="24"/>
        </w:rPr>
      </w:pPr>
      <w:r w:rsidRPr="005C4139">
        <w:rPr>
          <w:rFonts w:ascii="標楷體" w:eastAsia="標楷體" w:hAnsi="標楷體" w:cs="新細明體" w:hint="eastAsia"/>
          <w:kern w:val="0"/>
          <w:szCs w:val="24"/>
        </w:rPr>
        <w:t>落實學習輔導，確保學習成效</w:t>
      </w:r>
    </w:p>
    <w:p w:rsidR="005C4139" w:rsidRPr="005C4139" w:rsidRDefault="005C4139" w:rsidP="005C4139">
      <w:pPr>
        <w:widowControl/>
        <w:numPr>
          <w:ilvl w:val="1"/>
          <w:numId w:val="1"/>
        </w:numPr>
        <w:spacing w:line="400" w:lineRule="exact"/>
        <w:ind w:left="993" w:hanging="709"/>
        <w:jc w:val="both"/>
        <w:rPr>
          <w:rFonts w:ascii="標楷體" w:eastAsia="標楷體" w:hAnsi="標楷體" w:cs="新細明體"/>
          <w:kern w:val="0"/>
          <w:szCs w:val="24"/>
        </w:rPr>
      </w:pPr>
      <w:r w:rsidRPr="005C4139">
        <w:rPr>
          <w:rFonts w:ascii="標楷體" w:eastAsia="標楷體" w:hAnsi="標楷體" w:cs="新細明體" w:hint="eastAsia"/>
          <w:kern w:val="0"/>
          <w:szCs w:val="24"/>
        </w:rPr>
        <w:t>109學年度學習歷程檔案建置率達97.8%。近三年建置率平均達96.46%。</w:t>
      </w:r>
    </w:p>
    <w:p w:rsidR="005C4139" w:rsidRPr="005C4139" w:rsidRDefault="005C4139" w:rsidP="005C4139">
      <w:pPr>
        <w:widowControl/>
        <w:numPr>
          <w:ilvl w:val="1"/>
          <w:numId w:val="1"/>
        </w:numPr>
        <w:spacing w:line="400" w:lineRule="exact"/>
        <w:ind w:left="993" w:hanging="709"/>
        <w:jc w:val="both"/>
        <w:rPr>
          <w:rFonts w:ascii="標楷體" w:eastAsia="標楷體" w:hAnsi="標楷體" w:cs="新細明體"/>
          <w:kern w:val="0"/>
          <w:szCs w:val="24"/>
        </w:rPr>
      </w:pPr>
      <w:r w:rsidRPr="005C4139">
        <w:rPr>
          <w:rFonts w:ascii="標楷體" w:eastAsia="標楷體" w:hAnsi="標楷體" w:cs="新細明體" w:hint="eastAsia"/>
          <w:kern w:val="0"/>
          <w:szCs w:val="24"/>
        </w:rPr>
        <w:t>預警學生輔導成效良好，每學期期末的預警人數減少率平均達53%。</w:t>
      </w:r>
    </w:p>
    <w:p w:rsidR="005C4139" w:rsidRPr="005C4139" w:rsidRDefault="005C4139" w:rsidP="005C4139">
      <w:pPr>
        <w:widowControl/>
        <w:numPr>
          <w:ilvl w:val="1"/>
          <w:numId w:val="1"/>
        </w:numPr>
        <w:spacing w:line="400" w:lineRule="exact"/>
        <w:ind w:left="993" w:hanging="709"/>
        <w:jc w:val="both"/>
        <w:rPr>
          <w:rFonts w:ascii="標楷體" w:eastAsia="標楷體" w:hAnsi="標楷體" w:cs="新細明體"/>
          <w:kern w:val="0"/>
          <w:szCs w:val="24"/>
        </w:rPr>
      </w:pPr>
      <w:r w:rsidRPr="005C4139">
        <w:rPr>
          <w:rFonts w:ascii="標楷體" w:eastAsia="標楷體" w:hAnsi="標楷體" w:cs="新細明體" w:hint="eastAsia"/>
          <w:kern w:val="0"/>
          <w:szCs w:val="24"/>
        </w:rPr>
        <w:t>推動教學助理，深化課業輔導，每學期教學助理人數維持在82-113人之間，聘用教學助理的教師人數佔全校專任教師數的比率約在35-45%。109學年度教學助理113人，聘用教學助理的教師佔全校專任教師的比率45.3%。</w:t>
      </w:r>
    </w:p>
    <w:p w:rsidR="005C4139" w:rsidRPr="005C4139" w:rsidRDefault="005C4139" w:rsidP="005C4139">
      <w:pPr>
        <w:widowControl/>
        <w:numPr>
          <w:ilvl w:val="0"/>
          <w:numId w:val="1"/>
        </w:numPr>
        <w:spacing w:line="400" w:lineRule="exact"/>
        <w:ind w:left="567" w:hanging="567"/>
        <w:jc w:val="both"/>
        <w:rPr>
          <w:rFonts w:ascii="標楷體" w:eastAsia="標楷體" w:hAnsi="標楷體" w:cs="新細明體"/>
          <w:kern w:val="0"/>
          <w:szCs w:val="24"/>
        </w:rPr>
      </w:pPr>
      <w:r w:rsidRPr="005C4139">
        <w:rPr>
          <w:rFonts w:ascii="標楷體" w:eastAsia="標楷體" w:hAnsi="標楷體" w:cs="新細明體" w:hint="eastAsia"/>
          <w:kern w:val="0"/>
          <w:szCs w:val="24"/>
        </w:rPr>
        <w:t>透過課程、證照及統整課程(Capstone Course)之盤整實施，學生實作能力增強，減少學用落差，就業率大幅提升</w:t>
      </w:r>
    </w:p>
    <w:p w:rsidR="005C4139" w:rsidRPr="005C4139" w:rsidRDefault="005C4139" w:rsidP="005C4139">
      <w:pPr>
        <w:widowControl/>
        <w:numPr>
          <w:ilvl w:val="1"/>
          <w:numId w:val="1"/>
        </w:numPr>
        <w:spacing w:line="400" w:lineRule="exact"/>
        <w:ind w:left="851" w:hanging="567"/>
        <w:jc w:val="both"/>
        <w:rPr>
          <w:rFonts w:ascii="標楷體" w:eastAsia="標楷體" w:hAnsi="標楷體" w:cs="新細明體"/>
          <w:kern w:val="0"/>
          <w:szCs w:val="24"/>
        </w:rPr>
      </w:pPr>
      <w:r w:rsidRPr="005C4139">
        <w:rPr>
          <w:rFonts w:ascii="標楷體" w:eastAsia="標楷體" w:hAnsi="標楷體" w:cs="新細明體" w:hint="eastAsia"/>
          <w:kern w:val="0"/>
          <w:szCs w:val="24"/>
        </w:rPr>
        <w:t>近三年應屆畢業生之就業率平均達九成二。《遠見》雜誌「上市櫃公司」「2018企業最愛大學生調查」，榮獲觀光休閒類企業最愛大學生調查前三名。</w:t>
      </w:r>
    </w:p>
    <w:p w:rsidR="005C4139" w:rsidRPr="005C4139" w:rsidRDefault="005C4139" w:rsidP="005C4139">
      <w:pPr>
        <w:widowControl/>
        <w:numPr>
          <w:ilvl w:val="1"/>
          <w:numId w:val="1"/>
        </w:numPr>
        <w:spacing w:line="400" w:lineRule="exact"/>
        <w:ind w:left="851" w:hanging="567"/>
        <w:jc w:val="both"/>
        <w:rPr>
          <w:rFonts w:ascii="標楷體" w:eastAsia="標楷體" w:hAnsi="標楷體" w:cs="新細明體"/>
          <w:kern w:val="0"/>
          <w:szCs w:val="24"/>
        </w:rPr>
      </w:pPr>
      <w:r w:rsidRPr="005C4139">
        <w:rPr>
          <w:rFonts w:ascii="標楷體" w:eastAsia="標楷體" w:hAnsi="標楷體" w:cs="新細明體" w:hint="eastAsia"/>
          <w:kern w:val="0"/>
          <w:szCs w:val="24"/>
        </w:rPr>
        <w:t>107年第一次專技高普考護理師考試，本校護理科陳容慈同學獲得全國榜首，109年第二次應屆畢業學生護理師國家考試及格率達63.44%。</w:t>
      </w:r>
    </w:p>
    <w:p w:rsidR="005C4139" w:rsidRPr="005C4139" w:rsidRDefault="005C4139" w:rsidP="005C4139">
      <w:pPr>
        <w:widowControl/>
        <w:numPr>
          <w:ilvl w:val="1"/>
          <w:numId w:val="1"/>
        </w:numPr>
        <w:spacing w:line="400" w:lineRule="exact"/>
        <w:ind w:left="851" w:hanging="567"/>
        <w:jc w:val="both"/>
        <w:rPr>
          <w:rFonts w:ascii="標楷體" w:eastAsia="標楷體" w:hAnsi="標楷體" w:cs="新細明體"/>
          <w:kern w:val="0"/>
          <w:szCs w:val="24"/>
        </w:rPr>
      </w:pPr>
      <w:r w:rsidRPr="005C4139">
        <w:rPr>
          <w:rFonts w:ascii="標楷體" w:eastAsia="標楷體" w:hAnsi="標楷體" w:cs="新細明體" w:hint="eastAsia"/>
          <w:kern w:val="0"/>
          <w:szCs w:val="24"/>
        </w:rPr>
        <w:t>第一屆統一烘焙盃校際烘焙大賽，本校同學在30所學校123組隊伍參賽中脫穎而出，以「統一麵包-紫薯QQ」奪得「評審團大獎」。</w:t>
      </w:r>
    </w:p>
    <w:p w:rsidR="005C4139" w:rsidRPr="005C4139" w:rsidRDefault="005C4139" w:rsidP="005C4139">
      <w:pPr>
        <w:widowControl/>
        <w:numPr>
          <w:ilvl w:val="1"/>
          <w:numId w:val="1"/>
        </w:numPr>
        <w:spacing w:line="400" w:lineRule="exact"/>
        <w:ind w:left="851" w:hanging="567"/>
        <w:jc w:val="both"/>
        <w:rPr>
          <w:rFonts w:ascii="標楷體" w:eastAsia="標楷體" w:hAnsi="標楷體" w:cs="新細明體"/>
          <w:kern w:val="0"/>
          <w:szCs w:val="24"/>
        </w:rPr>
      </w:pPr>
      <w:r w:rsidRPr="005C4139">
        <w:rPr>
          <w:rFonts w:ascii="標楷體" w:eastAsia="標楷體" w:hAnsi="標楷體" w:cs="新細明體" w:hint="eastAsia"/>
          <w:kern w:val="0"/>
          <w:szCs w:val="24"/>
        </w:rPr>
        <w:t>農委會「2020霹靂江湖英雄過招-第一屆國產雜糧價值提升烘焙競賽」，本校學生打敗55位各校好手，勇奪冠軍。</w:t>
      </w:r>
    </w:p>
    <w:p w:rsidR="005C4139" w:rsidRPr="005C4139" w:rsidRDefault="005C4139" w:rsidP="005C4139">
      <w:pPr>
        <w:widowControl/>
        <w:numPr>
          <w:ilvl w:val="1"/>
          <w:numId w:val="1"/>
        </w:numPr>
        <w:spacing w:line="400" w:lineRule="exact"/>
        <w:ind w:left="851" w:hanging="567"/>
        <w:jc w:val="both"/>
        <w:rPr>
          <w:rFonts w:ascii="標楷體" w:eastAsia="標楷體" w:hAnsi="標楷體" w:cs="新細明體"/>
          <w:kern w:val="0"/>
          <w:szCs w:val="24"/>
        </w:rPr>
      </w:pPr>
      <w:r w:rsidRPr="005C4139">
        <w:rPr>
          <w:rFonts w:ascii="標楷體" w:eastAsia="標楷體" w:hAnsi="標楷體" w:cs="新細明體" w:hint="eastAsia"/>
          <w:kern w:val="0"/>
          <w:szCs w:val="24"/>
        </w:rPr>
        <w:t>連續11年接受中華文化總會委託辦理「新春文薈」和「夏季國宴」活動，深受總統及各界嘉賓肯定。</w:t>
      </w:r>
    </w:p>
    <w:p w:rsidR="005C4139" w:rsidRPr="005C4139" w:rsidRDefault="005C4139" w:rsidP="005C4139">
      <w:pPr>
        <w:widowControl/>
        <w:numPr>
          <w:ilvl w:val="0"/>
          <w:numId w:val="1"/>
        </w:numPr>
        <w:spacing w:line="400" w:lineRule="exact"/>
        <w:ind w:left="567" w:hanging="567"/>
        <w:jc w:val="both"/>
        <w:rPr>
          <w:rFonts w:ascii="標楷體" w:eastAsia="標楷體" w:hAnsi="標楷體" w:cs="新細明體"/>
          <w:kern w:val="0"/>
          <w:szCs w:val="24"/>
        </w:rPr>
      </w:pPr>
      <w:r w:rsidRPr="005C4139">
        <w:rPr>
          <w:rFonts w:ascii="標楷體" w:eastAsia="標楷體" w:hAnsi="標楷體" w:cs="新細明體" w:hint="eastAsia"/>
          <w:kern w:val="0"/>
          <w:szCs w:val="24"/>
        </w:rPr>
        <w:t>積極爭取各項計畫補助，發展教學單位研發重點特色。近3年度總共爭取政府部門、產業合作等計畫達267件，總計畫金額</w:t>
      </w:r>
      <w:r w:rsidRPr="005C4139">
        <w:rPr>
          <w:rFonts w:ascii="標楷體" w:eastAsia="標楷體" w:hAnsi="標楷體" w:cs="新細明體"/>
          <w:kern w:val="0"/>
          <w:szCs w:val="24"/>
        </w:rPr>
        <w:t>2</w:t>
      </w:r>
      <w:r w:rsidRPr="005C4139">
        <w:rPr>
          <w:rFonts w:ascii="標楷體" w:eastAsia="標楷體" w:hAnsi="標楷體" w:cs="新細明體" w:hint="eastAsia"/>
          <w:kern w:val="0"/>
          <w:szCs w:val="24"/>
        </w:rPr>
        <w:t>億</w:t>
      </w:r>
      <w:r w:rsidRPr="005C4139">
        <w:rPr>
          <w:rFonts w:ascii="標楷體" w:eastAsia="標楷體" w:hAnsi="標楷體" w:cs="新細明體"/>
          <w:kern w:val="0"/>
          <w:szCs w:val="24"/>
        </w:rPr>
        <w:t>8921</w:t>
      </w:r>
      <w:r w:rsidRPr="005C4139">
        <w:rPr>
          <w:rFonts w:ascii="標楷體" w:eastAsia="標楷體" w:hAnsi="標楷體" w:cs="新細明體" w:hint="eastAsia"/>
          <w:kern w:val="0"/>
          <w:szCs w:val="24"/>
        </w:rPr>
        <w:t>萬餘元。「實務性研究計畫(含產學合作)」件數達118件，金額總計3,055萬餘元。109年度科技部核定本校計畫4件，核定金額計4,562,000元。</w:t>
      </w:r>
    </w:p>
    <w:p w:rsidR="005C4139" w:rsidRPr="005C4139" w:rsidRDefault="005C4139" w:rsidP="005C4139">
      <w:pPr>
        <w:widowControl/>
        <w:numPr>
          <w:ilvl w:val="0"/>
          <w:numId w:val="1"/>
        </w:numPr>
        <w:spacing w:line="400" w:lineRule="exact"/>
        <w:ind w:left="567" w:hanging="567"/>
        <w:jc w:val="both"/>
        <w:rPr>
          <w:rFonts w:ascii="標楷體" w:eastAsia="標楷體" w:hAnsi="標楷體" w:cs="新細明體"/>
          <w:kern w:val="0"/>
          <w:szCs w:val="24"/>
        </w:rPr>
      </w:pPr>
      <w:r w:rsidRPr="005C4139">
        <w:rPr>
          <w:rFonts w:ascii="標楷體" w:eastAsia="標楷體" w:hAnsi="標楷體" w:cs="新細明體" w:hint="eastAsia"/>
          <w:kern w:val="0"/>
          <w:szCs w:val="24"/>
        </w:rPr>
        <w:t>招收僑外學生，發展國際交流。104學年度僑外生5人，109學年度僑外生達266人，分別來自馬來西亞、香港、澳門、越南。</w:t>
      </w:r>
    </w:p>
    <w:p w:rsidR="005C4139" w:rsidRDefault="005C4139" w:rsidP="005C4139">
      <w:pPr>
        <w:widowControl/>
        <w:numPr>
          <w:ilvl w:val="0"/>
          <w:numId w:val="1"/>
        </w:numPr>
        <w:spacing w:line="400" w:lineRule="exact"/>
        <w:ind w:left="567" w:hanging="567"/>
        <w:jc w:val="both"/>
        <w:rPr>
          <w:rFonts w:ascii="標楷體" w:eastAsia="標楷體" w:hAnsi="標楷體" w:cs="新細明體"/>
          <w:kern w:val="0"/>
          <w:szCs w:val="24"/>
        </w:rPr>
      </w:pPr>
      <w:r w:rsidRPr="005C4139">
        <w:rPr>
          <w:rFonts w:ascii="標楷體" w:eastAsia="標楷體" w:hAnsi="標楷體" w:cs="新細明體" w:hint="eastAsia"/>
          <w:kern w:val="0"/>
          <w:szCs w:val="24"/>
        </w:rPr>
        <w:t>109年度向陽計畫(弱勢學生學習輔導)執行255萬4,885元，執行率為100.19%。協助弱勢學生計669人次。本校109年度弱勢學生780人，向陽計畫輔導或協助人數為560人，比率達71.79％（780人），人數及比率均呈現增加趨勢。</w:t>
      </w:r>
    </w:p>
    <w:p w:rsidR="001547ED" w:rsidRDefault="001547ED" w:rsidP="001547ED">
      <w:pPr>
        <w:widowControl/>
        <w:spacing w:line="400" w:lineRule="exact"/>
        <w:jc w:val="both"/>
        <w:rPr>
          <w:rFonts w:ascii="標楷體" w:eastAsia="標楷體" w:hAnsi="標楷體" w:cs="新細明體"/>
          <w:kern w:val="0"/>
          <w:szCs w:val="24"/>
        </w:rPr>
      </w:pPr>
    </w:p>
    <w:p w:rsidR="001547ED" w:rsidRDefault="001547ED" w:rsidP="001547ED">
      <w:pPr>
        <w:widowControl/>
        <w:spacing w:line="400" w:lineRule="exact"/>
        <w:jc w:val="both"/>
        <w:rPr>
          <w:rFonts w:ascii="標楷體" w:eastAsia="標楷體" w:hAnsi="標楷體" w:cs="新細明體"/>
          <w:kern w:val="0"/>
          <w:szCs w:val="24"/>
        </w:rPr>
      </w:pPr>
    </w:p>
    <w:p w:rsidR="001547ED" w:rsidRDefault="001547ED" w:rsidP="001547ED">
      <w:pPr>
        <w:widowControl/>
        <w:spacing w:line="400" w:lineRule="exact"/>
        <w:jc w:val="both"/>
        <w:rPr>
          <w:rFonts w:ascii="標楷體" w:eastAsia="標楷體" w:hAnsi="標楷體" w:cs="新細明體"/>
          <w:kern w:val="0"/>
          <w:szCs w:val="24"/>
        </w:rPr>
      </w:pPr>
    </w:p>
    <w:p w:rsidR="001547ED" w:rsidRDefault="001547ED" w:rsidP="001547ED">
      <w:pPr>
        <w:widowControl/>
        <w:spacing w:line="400" w:lineRule="exact"/>
        <w:jc w:val="both"/>
        <w:rPr>
          <w:rFonts w:ascii="標楷體" w:eastAsia="標楷體" w:hAnsi="標楷體" w:cs="新細明體"/>
          <w:kern w:val="0"/>
          <w:szCs w:val="24"/>
        </w:rPr>
      </w:pPr>
    </w:p>
    <w:p w:rsidR="001547ED" w:rsidRPr="00F42576" w:rsidRDefault="001547ED" w:rsidP="001547ED">
      <w:pPr>
        <w:shd w:val="clear" w:color="auto" w:fill="FFFFFF"/>
        <w:spacing w:afterLines="100" w:after="360"/>
        <w:jc w:val="center"/>
        <w:rPr>
          <w:rFonts w:ascii="Times New Roman" w:hAnsi="Times New Roman"/>
          <w:b/>
          <w:sz w:val="28"/>
          <w:szCs w:val="28"/>
        </w:rPr>
      </w:pPr>
      <w:r w:rsidRPr="00F42576">
        <w:rPr>
          <w:rFonts w:ascii="Times New Roman" w:hAnsi="Times New Roman"/>
          <w:b/>
          <w:sz w:val="28"/>
          <w:szCs w:val="28"/>
        </w:rPr>
        <w:lastRenderedPageBreak/>
        <w:t>Executive Summary and Highlights of the First Stage Implementation</w:t>
      </w:r>
    </w:p>
    <w:p w:rsidR="001547ED" w:rsidRPr="000446D1" w:rsidRDefault="001547ED" w:rsidP="001547ED">
      <w:pPr>
        <w:pStyle w:val="a3"/>
        <w:numPr>
          <w:ilvl w:val="0"/>
          <w:numId w:val="2"/>
        </w:numPr>
        <w:shd w:val="clear" w:color="auto" w:fill="FFFFFF"/>
        <w:spacing w:line="260" w:lineRule="exact"/>
        <w:ind w:leftChars="0"/>
        <w:jc w:val="both"/>
        <w:rPr>
          <w:rFonts w:asciiTheme="minorHAnsi" w:eastAsiaTheme="minorEastAsia" w:hAnsiTheme="minorHAnsi" w:cstheme="minorBidi"/>
        </w:rPr>
      </w:pPr>
      <w:r w:rsidRPr="000446D1">
        <w:rPr>
          <w:rFonts w:asciiTheme="minorHAnsi" w:hAnsiTheme="minorHAnsi"/>
        </w:rPr>
        <w:t xml:space="preserve">With the support of growing communities, studies and observations, as well as grants and subsidies, the teachers were encouraged to produce teaching materials and aids, </w:t>
      </w:r>
      <w:r>
        <w:rPr>
          <w:rFonts w:asciiTheme="minorHAnsi" w:hAnsiTheme="minorHAnsi" w:hint="eastAsia"/>
        </w:rPr>
        <w:t xml:space="preserve">they </w:t>
      </w:r>
      <w:r w:rsidRPr="000446D1">
        <w:rPr>
          <w:rFonts w:asciiTheme="minorHAnsi" w:hAnsiTheme="minorHAnsi"/>
        </w:rPr>
        <w:t>innovate</w:t>
      </w:r>
      <w:r>
        <w:rPr>
          <w:rFonts w:asciiTheme="minorHAnsi" w:hAnsiTheme="minorHAnsi" w:hint="eastAsia"/>
        </w:rPr>
        <w:t>d</w:t>
      </w:r>
      <w:r w:rsidRPr="000446D1">
        <w:rPr>
          <w:rFonts w:asciiTheme="minorHAnsi" w:hAnsiTheme="minorHAnsi"/>
        </w:rPr>
        <w:t xml:space="preserve"> teaching methods, and conduct teaching practices and researches in order to improve learning effectiveness.</w:t>
      </w:r>
    </w:p>
    <w:p w:rsidR="001547ED" w:rsidRPr="000446D1" w:rsidRDefault="001547ED" w:rsidP="001547ED">
      <w:pPr>
        <w:pStyle w:val="a3"/>
        <w:numPr>
          <w:ilvl w:val="2"/>
          <w:numId w:val="2"/>
        </w:numPr>
        <w:shd w:val="clear" w:color="auto" w:fill="FFFFFF"/>
        <w:spacing w:line="260" w:lineRule="exact"/>
        <w:ind w:leftChars="0"/>
        <w:jc w:val="both"/>
        <w:rPr>
          <w:rFonts w:asciiTheme="minorHAnsi" w:eastAsiaTheme="minorEastAsia" w:hAnsiTheme="minorHAnsi" w:cstheme="minorBidi"/>
        </w:rPr>
      </w:pPr>
      <w:r w:rsidRPr="000446D1">
        <w:rPr>
          <w:rFonts w:asciiTheme="minorHAnsi" w:hAnsiTheme="minorHAnsi"/>
        </w:rPr>
        <w:t>In the 2018-2020 academic year, there was a total of 32 applications for the Teaching Practice Research Program of which 12 applications have been awarded</w:t>
      </w:r>
      <w:r>
        <w:rPr>
          <w:rFonts w:asciiTheme="minorHAnsi" w:hAnsiTheme="minorHAnsi"/>
        </w:rPr>
        <w:t xml:space="preserve"> with an amount of more than NT</w:t>
      </w:r>
      <w:r>
        <w:rPr>
          <w:rFonts w:asciiTheme="minorHAnsi" w:hAnsiTheme="minorHAnsi" w:hint="eastAsia"/>
        </w:rPr>
        <w:t>$</w:t>
      </w:r>
      <w:r w:rsidRPr="000446D1">
        <w:rPr>
          <w:rFonts w:asciiTheme="minorHAnsi" w:hAnsiTheme="minorHAnsi"/>
        </w:rPr>
        <w:t xml:space="preserve"> 2,770,000. In the 2020 academic year, four new awarded applications were added</w:t>
      </w:r>
      <w:r>
        <w:rPr>
          <w:rFonts w:asciiTheme="minorHAnsi" w:hAnsiTheme="minorHAnsi"/>
        </w:rPr>
        <w:t xml:space="preserve"> with an amount of more than NT</w:t>
      </w:r>
      <w:r>
        <w:rPr>
          <w:rFonts w:asciiTheme="minorHAnsi" w:hAnsiTheme="minorHAnsi" w:hint="eastAsia"/>
        </w:rPr>
        <w:t>$</w:t>
      </w:r>
      <w:r w:rsidRPr="000446D1">
        <w:rPr>
          <w:rFonts w:asciiTheme="minorHAnsi" w:hAnsiTheme="minorHAnsi"/>
        </w:rPr>
        <w:t xml:space="preserve"> 1,070,000.</w:t>
      </w:r>
    </w:p>
    <w:p w:rsidR="001547ED" w:rsidRPr="000446D1" w:rsidRDefault="001547ED" w:rsidP="001547ED">
      <w:pPr>
        <w:pStyle w:val="a3"/>
        <w:numPr>
          <w:ilvl w:val="2"/>
          <w:numId w:val="2"/>
        </w:numPr>
        <w:spacing w:line="260" w:lineRule="exact"/>
        <w:ind w:leftChars="0"/>
        <w:jc w:val="both"/>
        <w:rPr>
          <w:rFonts w:asciiTheme="minorHAnsi" w:eastAsia="標楷體" w:hAnsiTheme="minorHAnsi"/>
          <w:color w:val="000000" w:themeColor="text1"/>
        </w:rPr>
      </w:pPr>
      <w:r w:rsidRPr="000446D1">
        <w:rPr>
          <w:rFonts w:asciiTheme="minorHAnsi" w:eastAsia="標楷體" w:hAnsiTheme="minorHAnsi"/>
          <w:color w:val="000000" w:themeColor="text1"/>
        </w:rPr>
        <w:t xml:space="preserve">The online courses </w:t>
      </w:r>
      <w:r>
        <w:rPr>
          <w:rFonts w:asciiTheme="minorHAnsi" w:eastAsia="標楷體" w:hAnsiTheme="minorHAnsi" w:hint="eastAsia"/>
          <w:color w:val="000000" w:themeColor="text1"/>
        </w:rPr>
        <w:t>were</w:t>
      </w:r>
      <w:r w:rsidRPr="000446D1">
        <w:rPr>
          <w:rFonts w:asciiTheme="minorHAnsi" w:eastAsia="標楷體" w:hAnsiTheme="minorHAnsi"/>
          <w:color w:val="000000" w:themeColor="text1"/>
        </w:rPr>
        <w:t xml:space="preserve"> increasing with an average of 500 courses per semester in the 2020 academic year.</w:t>
      </w:r>
    </w:p>
    <w:p w:rsidR="001547ED" w:rsidRPr="000446D1" w:rsidRDefault="001547ED" w:rsidP="001547ED">
      <w:pPr>
        <w:pStyle w:val="a3"/>
        <w:numPr>
          <w:ilvl w:val="2"/>
          <w:numId w:val="2"/>
        </w:numPr>
        <w:shd w:val="clear" w:color="auto" w:fill="FFFFFF"/>
        <w:spacing w:line="260" w:lineRule="exact"/>
        <w:ind w:leftChars="0"/>
        <w:jc w:val="both"/>
        <w:rPr>
          <w:rFonts w:asciiTheme="minorHAnsi" w:hAnsiTheme="minorHAnsi"/>
        </w:rPr>
      </w:pPr>
      <w:r w:rsidRPr="000446D1">
        <w:rPr>
          <w:rFonts w:asciiTheme="minorHAnsi" w:hAnsiTheme="minorHAnsi"/>
        </w:rPr>
        <w:t xml:space="preserve">In the 2020 academic year, there were 42 teachers adopted innovative teaching methods, which </w:t>
      </w:r>
      <w:r>
        <w:rPr>
          <w:rFonts w:asciiTheme="minorHAnsi" w:hAnsiTheme="minorHAnsi" w:hint="eastAsia"/>
        </w:rPr>
        <w:t>was</w:t>
      </w:r>
      <w:r w:rsidRPr="000446D1">
        <w:rPr>
          <w:rFonts w:asciiTheme="minorHAnsi" w:hAnsiTheme="minorHAnsi"/>
        </w:rPr>
        <w:t xml:space="preserve"> 35.9% of the total full-time teachers in the school. Compared to the previous academic year, it increased by 16.7%.</w:t>
      </w:r>
    </w:p>
    <w:p w:rsidR="001547ED" w:rsidRPr="000446D1" w:rsidRDefault="001547ED" w:rsidP="001547ED">
      <w:pPr>
        <w:pStyle w:val="a3"/>
        <w:numPr>
          <w:ilvl w:val="0"/>
          <w:numId w:val="2"/>
        </w:numPr>
        <w:spacing w:line="260" w:lineRule="exact"/>
        <w:ind w:leftChars="0"/>
        <w:jc w:val="both"/>
        <w:rPr>
          <w:rFonts w:asciiTheme="minorHAnsi" w:eastAsia="標楷體" w:hAnsiTheme="minorHAnsi"/>
          <w:color w:val="000000" w:themeColor="text1"/>
        </w:rPr>
      </w:pPr>
      <w:r w:rsidRPr="000446D1">
        <w:rPr>
          <w:rFonts w:asciiTheme="minorHAnsi" w:eastAsia="標楷體" w:hAnsiTheme="minorHAnsi"/>
          <w:color w:val="000000" w:themeColor="text1"/>
        </w:rPr>
        <w:t>Implementing learning guidance to ensure learning effectiveness</w:t>
      </w:r>
    </w:p>
    <w:p w:rsidR="001547ED" w:rsidRPr="000446D1" w:rsidRDefault="001547ED" w:rsidP="001547ED">
      <w:pPr>
        <w:pStyle w:val="a3"/>
        <w:numPr>
          <w:ilvl w:val="2"/>
          <w:numId w:val="2"/>
        </w:numPr>
        <w:shd w:val="clear" w:color="auto" w:fill="FFFFFF"/>
        <w:spacing w:line="260" w:lineRule="exact"/>
        <w:ind w:leftChars="0"/>
        <w:jc w:val="both"/>
        <w:rPr>
          <w:rFonts w:asciiTheme="minorHAnsi" w:hAnsiTheme="minorHAnsi"/>
        </w:rPr>
      </w:pPr>
      <w:r w:rsidRPr="000446D1">
        <w:rPr>
          <w:rFonts w:asciiTheme="minorHAnsi" w:eastAsiaTheme="minorEastAsia" w:hAnsiTheme="minorHAnsi" w:cstheme="minorBidi"/>
        </w:rPr>
        <w:t>In the 2020 academic year, the building rate for the E-portfolio was 97.8%. It reached 96.46% in the recent three years.</w:t>
      </w:r>
    </w:p>
    <w:p w:rsidR="001547ED" w:rsidRPr="000446D1" w:rsidRDefault="001547ED" w:rsidP="001547ED">
      <w:pPr>
        <w:pStyle w:val="a3"/>
        <w:numPr>
          <w:ilvl w:val="2"/>
          <w:numId w:val="2"/>
        </w:numPr>
        <w:spacing w:line="260" w:lineRule="exact"/>
        <w:ind w:leftChars="0"/>
        <w:jc w:val="both"/>
        <w:rPr>
          <w:rFonts w:asciiTheme="minorHAnsi" w:eastAsia="標楷體" w:hAnsiTheme="minorHAnsi"/>
          <w:color w:val="000000" w:themeColor="text1"/>
        </w:rPr>
      </w:pPr>
      <w:r w:rsidRPr="000446D1">
        <w:rPr>
          <w:rFonts w:asciiTheme="minorHAnsi" w:eastAsia="標楷體" w:hAnsiTheme="minorHAnsi"/>
          <w:color w:val="000000" w:themeColor="text1"/>
        </w:rPr>
        <w:t>The effectiveness of students’ early-warning guidance was good. The rare of students’ early-warning decreased by 53% averagely at the end of each semester.</w:t>
      </w:r>
    </w:p>
    <w:p w:rsidR="001547ED" w:rsidRPr="000446D1" w:rsidRDefault="001547ED" w:rsidP="001547ED">
      <w:pPr>
        <w:pStyle w:val="a3"/>
        <w:numPr>
          <w:ilvl w:val="2"/>
          <w:numId w:val="2"/>
        </w:numPr>
        <w:spacing w:line="260" w:lineRule="exact"/>
        <w:ind w:leftChars="0"/>
        <w:jc w:val="both"/>
        <w:rPr>
          <w:rFonts w:asciiTheme="minorHAnsi" w:eastAsia="標楷體" w:hAnsiTheme="minorHAnsi"/>
          <w:color w:val="FF0000"/>
        </w:rPr>
      </w:pPr>
      <w:r w:rsidRPr="000446D1">
        <w:rPr>
          <w:rFonts w:asciiTheme="minorHAnsi" w:hAnsiTheme="minorHAnsi"/>
          <w:color w:val="000000" w:themeColor="text1"/>
        </w:rPr>
        <w:t>The</w:t>
      </w:r>
      <w:r w:rsidRPr="000446D1">
        <w:rPr>
          <w:rFonts w:asciiTheme="minorHAnsi" w:hAnsiTheme="minorHAnsi"/>
        </w:rPr>
        <w:t xml:space="preserve"> school promoted the implementation of teaching assistants to strengthen instructional guidance. The number of teaching assistants per semester is between 82 and 113. The number of teachers who hired teaching assistants was about 35% to 45% of the total number of full-time teachers in the school. In the 2020 academic year, there were 113 teaching assistants. The number of teachers who hired teaching assistants was 45.3% of the total number of full-time teachers in the school.</w:t>
      </w:r>
    </w:p>
    <w:p w:rsidR="001547ED" w:rsidRPr="000446D1" w:rsidRDefault="001547ED" w:rsidP="001547ED">
      <w:pPr>
        <w:pStyle w:val="a3"/>
        <w:numPr>
          <w:ilvl w:val="0"/>
          <w:numId w:val="2"/>
        </w:numPr>
        <w:shd w:val="clear" w:color="auto" w:fill="FFFFFF"/>
        <w:spacing w:line="260" w:lineRule="exact"/>
        <w:ind w:leftChars="0"/>
        <w:jc w:val="both"/>
        <w:rPr>
          <w:rFonts w:asciiTheme="minorHAnsi" w:hAnsiTheme="minorHAnsi"/>
        </w:rPr>
      </w:pPr>
      <w:r w:rsidRPr="000446D1">
        <w:rPr>
          <w:rFonts w:asciiTheme="minorHAnsi" w:hAnsiTheme="minorHAnsi"/>
        </w:rPr>
        <w:t>By providing access to the courses, certificates, and Capstone Courses, the students enhanced their practical abilities to reduce the gap between learning and practicality. The rate of the students’ employability was greatly improved.</w:t>
      </w:r>
    </w:p>
    <w:p w:rsidR="001547ED" w:rsidRPr="000446D1" w:rsidRDefault="001547ED" w:rsidP="001547ED">
      <w:pPr>
        <w:pStyle w:val="a3"/>
        <w:numPr>
          <w:ilvl w:val="2"/>
          <w:numId w:val="2"/>
        </w:numPr>
        <w:spacing w:line="260" w:lineRule="exact"/>
        <w:ind w:leftChars="0"/>
        <w:jc w:val="both"/>
        <w:textAlignment w:val="baseline"/>
        <w:rPr>
          <w:rFonts w:asciiTheme="minorHAnsi" w:hAnsiTheme="minorHAnsi"/>
        </w:rPr>
      </w:pPr>
      <w:r w:rsidRPr="000446D1">
        <w:rPr>
          <w:rFonts w:asciiTheme="minorHAnsi" w:hAnsiTheme="minorHAnsi"/>
        </w:rPr>
        <w:t>The rate of the new graduates’ employability was 92% in recent three years. Our school’s students were named the top third favorite hires in the tourism and hospitality sector in</w:t>
      </w:r>
      <w:r>
        <w:rPr>
          <w:rFonts w:asciiTheme="minorHAnsi" w:hAnsiTheme="minorHAnsi" w:hint="eastAsia"/>
        </w:rPr>
        <w:t xml:space="preserve"> </w:t>
      </w:r>
      <w:r w:rsidRPr="000446D1">
        <w:rPr>
          <w:rFonts w:asciiTheme="minorHAnsi" w:hAnsiTheme="minorHAnsi"/>
        </w:rPr>
        <w:t>Global Views Monthly Magazine’s “2018 Businesses’ Favorite College Graduates Survey”.</w:t>
      </w:r>
    </w:p>
    <w:p w:rsidR="001547ED" w:rsidRPr="000446D1" w:rsidRDefault="001547ED" w:rsidP="001547ED">
      <w:pPr>
        <w:pStyle w:val="a3"/>
        <w:numPr>
          <w:ilvl w:val="2"/>
          <w:numId w:val="2"/>
        </w:numPr>
        <w:spacing w:line="260" w:lineRule="exact"/>
        <w:ind w:leftChars="0"/>
        <w:jc w:val="both"/>
        <w:textAlignment w:val="baseline"/>
        <w:rPr>
          <w:rFonts w:asciiTheme="minorHAnsi" w:hAnsiTheme="minorHAnsi"/>
        </w:rPr>
      </w:pPr>
      <w:r w:rsidRPr="000446D1">
        <w:rPr>
          <w:rFonts w:asciiTheme="minorHAnsi" w:hAnsiTheme="minorHAnsi"/>
        </w:rPr>
        <w:t>In 2018, Rong-Zi Chen, a graduate from the Nursing College, topped the list of passers for the Professional and Technical Examinations for Registered Nurses. In 2020, the passing rate for the new graduates in the second National Examination for Registered Nurses was 63.44%</w:t>
      </w:r>
    </w:p>
    <w:p w:rsidR="001547ED" w:rsidRPr="00F70685" w:rsidRDefault="001547ED" w:rsidP="001547ED">
      <w:pPr>
        <w:spacing w:line="260" w:lineRule="exact"/>
        <w:ind w:leftChars="408" w:left="1339" w:hangingChars="150" w:hanging="360"/>
        <w:jc w:val="both"/>
        <w:rPr>
          <w:rFonts w:eastAsia="新細明體" w:cs="新細明體"/>
          <w:kern w:val="0"/>
          <w:szCs w:val="24"/>
        </w:rPr>
      </w:pPr>
      <w:r w:rsidRPr="00F70685">
        <w:rPr>
          <w:rFonts w:eastAsia="新細明體" w:cs="新細明體"/>
          <w:kern w:val="0"/>
          <w:szCs w:val="24"/>
        </w:rPr>
        <w:t xml:space="preserve">3. </w:t>
      </w:r>
      <w:r>
        <w:rPr>
          <w:rFonts w:eastAsia="新細明體" w:cs="新細明體" w:hint="eastAsia"/>
          <w:kern w:val="0"/>
          <w:szCs w:val="24"/>
        </w:rPr>
        <w:t xml:space="preserve"> </w:t>
      </w:r>
      <w:r w:rsidRPr="00F70685">
        <w:rPr>
          <w:rFonts w:eastAsia="新細明體" w:cs="新細明體"/>
          <w:kern w:val="0"/>
          <w:szCs w:val="24"/>
        </w:rPr>
        <w:t xml:space="preserve">Out of 123 teams from 30 different schools, </w:t>
      </w:r>
      <w:r>
        <w:rPr>
          <w:rFonts w:eastAsia="新細明體" w:cs="新細明體" w:hint="eastAsia"/>
          <w:kern w:val="0"/>
          <w:szCs w:val="24"/>
        </w:rPr>
        <w:t>the</w:t>
      </w:r>
      <w:r w:rsidRPr="00F70685">
        <w:rPr>
          <w:rFonts w:eastAsia="新細明體" w:cs="新細明體"/>
          <w:kern w:val="0"/>
          <w:szCs w:val="24"/>
        </w:rPr>
        <w:t xml:space="preserve"> students won the Jury Prize for their “Purple Sweet Potato Bun with Mochi” in the First Uni-President Interscholastic Bakery Contest (held by Uni-President Enterprises Corporation). </w:t>
      </w:r>
    </w:p>
    <w:p w:rsidR="001547ED" w:rsidRPr="00F70685" w:rsidRDefault="001547ED" w:rsidP="001547ED">
      <w:pPr>
        <w:spacing w:line="260" w:lineRule="exact"/>
        <w:ind w:leftChars="432" w:left="1277" w:hangingChars="100" w:hanging="240"/>
        <w:jc w:val="both"/>
        <w:rPr>
          <w:rFonts w:eastAsia="新細明體" w:cs="新細明體"/>
          <w:kern w:val="0"/>
          <w:szCs w:val="24"/>
        </w:rPr>
      </w:pPr>
      <w:r w:rsidRPr="00F70685">
        <w:rPr>
          <w:rFonts w:eastAsia="新細明體" w:cs="新細明體"/>
          <w:kern w:val="0"/>
          <w:szCs w:val="24"/>
        </w:rPr>
        <w:t xml:space="preserve">4. </w:t>
      </w:r>
      <w:r>
        <w:rPr>
          <w:rFonts w:eastAsia="新細明體" w:cs="新細明體" w:hint="eastAsia"/>
          <w:kern w:val="0"/>
          <w:szCs w:val="24"/>
        </w:rPr>
        <w:t>The</w:t>
      </w:r>
      <w:r w:rsidRPr="00F70685">
        <w:rPr>
          <w:rFonts w:eastAsia="新細明體" w:cs="新細明體"/>
          <w:kern w:val="0"/>
          <w:szCs w:val="24"/>
        </w:rPr>
        <w:t xml:space="preserve"> students won the championship out of 55 teams in the First Domestic Grains Bakery Contest: Heroes from Everywhere 2020, held by the Council of Agriculture. </w:t>
      </w:r>
    </w:p>
    <w:p w:rsidR="001547ED" w:rsidRDefault="001547ED" w:rsidP="001547ED">
      <w:pPr>
        <w:spacing w:line="260" w:lineRule="exact"/>
        <w:ind w:leftChars="450" w:left="1320" w:hangingChars="100" w:hanging="240"/>
        <w:jc w:val="both"/>
      </w:pPr>
      <w:r w:rsidRPr="00F70685">
        <w:rPr>
          <w:rFonts w:eastAsia="新細明體" w:cs="新細明體"/>
          <w:kern w:val="0"/>
          <w:szCs w:val="24"/>
        </w:rPr>
        <w:t xml:space="preserve">5. </w:t>
      </w:r>
      <w:r>
        <w:rPr>
          <w:rFonts w:eastAsia="新細明體" w:cs="新細明體" w:hint="eastAsia"/>
          <w:kern w:val="0"/>
          <w:szCs w:val="24"/>
        </w:rPr>
        <w:t>There</w:t>
      </w:r>
      <w:r w:rsidRPr="00F70685">
        <w:rPr>
          <w:rFonts w:eastAsia="新細明體" w:cs="新細明體"/>
          <w:kern w:val="0"/>
          <w:szCs w:val="24"/>
        </w:rPr>
        <w:t xml:space="preserve"> has been appointed by the General Association of Chinese Culture to the New Year Cultural Gathering and the Summer National Banquet for 11 years</w:t>
      </w:r>
      <w:r>
        <w:rPr>
          <w:rFonts w:eastAsia="新細明體" w:cs="新細明體" w:hint="eastAsia"/>
          <w:kern w:val="0"/>
          <w:szCs w:val="24"/>
        </w:rPr>
        <w:t xml:space="preserve"> in the school</w:t>
      </w:r>
      <w:r w:rsidRPr="00F70685">
        <w:rPr>
          <w:rFonts w:eastAsia="新細明體" w:cs="新細明體"/>
          <w:kern w:val="0"/>
          <w:szCs w:val="24"/>
        </w:rPr>
        <w:t xml:space="preserve">. </w:t>
      </w:r>
      <w:r>
        <w:rPr>
          <w:rFonts w:eastAsia="新細明體" w:cs="新細明體" w:hint="eastAsia"/>
          <w:kern w:val="0"/>
          <w:szCs w:val="24"/>
        </w:rPr>
        <w:t>The school student</w:t>
      </w:r>
      <w:r>
        <w:rPr>
          <w:rFonts w:eastAsia="新細明體" w:cs="新細明體"/>
          <w:kern w:val="0"/>
          <w:szCs w:val="24"/>
        </w:rPr>
        <w:t>s’</w:t>
      </w:r>
      <w:r>
        <w:rPr>
          <w:rFonts w:eastAsia="新細明體" w:cs="新細明體" w:hint="eastAsia"/>
          <w:kern w:val="0"/>
          <w:szCs w:val="24"/>
        </w:rPr>
        <w:t xml:space="preserve"> working</w:t>
      </w:r>
      <w:r w:rsidRPr="00F70685">
        <w:rPr>
          <w:rFonts w:eastAsia="新細明體" w:cs="新細明體"/>
          <w:kern w:val="0"/>
          <w:szCs w:val="24"/>
        </w:rPr>
        <w:t xml:space="preserve"> performa</w:t>
      </w:r>
      <w:r>
        <w:rPr>
          <w:rFonts w:eastAsia="新細明體" w:cs="新細明體"/>
          <w:kern w:val="0"/>
          <w:szCs w:val="24"/>
        </w:rPr>
        <w:t xml:space="preserve">nce has been recognized by the </w:t>
      </w:r>
      <w:r>
        <w:rPr>
          <w:rFonts w:eastAsia="新細明體" w:cs="新細明體" w:hint="eastAsia"/>
          <w:kern w:val="0"/>
          <w:szCs w:val="24"/>
        </w:rPr>
        <w:t>P</w:t>
      </w:r>
      <w:r w:rsidRPr="00F70685">
        <w:rPr>
          <w:rFonts w:eastAsia="新細明體" w:cs="新細明體"/>
          <w:kern w:val="0"/>
          <w:szCs w:val="24"/>
        </w:rPr>
        <w:t>resident and the guests.</w:t>
      </w:r>
      <w:r>
        <w:t xml:space="preserve"> </w:t>
      </w:r>
    </w:p>
    <w:p w:rsidR="001547ED" w:rsidRDefault="001547ED" w:rsidP="001547ED">
      <w:pPr>
        <w:spacing w:line="260" w:lineRule="exact"/>
        <w:ind w:left="708" w:hangingChars="295" w:hanging="708"/>
        <w:jc w:val="both"/>
      </w:pPr>
      <w:r>
        <w:t xml:space="preserve">IV. </w:t>
      </w:r>
      <w:r>
        <w:rPr>
          <w:rFonts w:hint="eastAsia"/>
        </w:rPr>
        <w:tab/>
        <w:t>There</w:t>
      </w:r>
      <w:r>
        <w:t xml:space="preserve"> has endeavored to obtain various grants and subsidies and to develop the teaching and research specialties of all departments</w:t>
      </w:r>
      <w:r>
        <w:rPr>
          <w:rFonts w:hint="eastAsia"/>
        </w:rPr>
        <w:t xml:space="preserve"> in the school</w:t>
      </w:r>
      <w:r>
        <w:t xml:space="preserve">. From 2018 to 2020, </w:t>
      </w:r>
      <w:r>
        <w:rPr>
          <w:rFonts w:hint="eastAsia"/>
        </w:rPr>
        <w:t>the</w:t>
      </w:r>
      <w:r>
        <w:t xml:space="preserve"> school secured a total of 267 projects totaling up to NT$ 289.21 million through government and industrial cooperation. There were 118 practical research projects (some of which involved industry cooperation) amounting NT$ 30.55 million. In 2020, our faculties got 4 MOST projects, totaling up to NT$ 4,562,000. </w:t>
      </w:r>
    </w:p>
    <w:p w:rsidR="001547ED" w:rsidRDefault="001547ED" w:rsidP="001547ED">
      <w:pPr>
        <w:spacing w:line="260" w:lineRule="exact"/>
        <w:ind w:left="708" w:hangingChars="295" w:hanging="708"/>
        <w:jc w:val="both"/>
      </w:pPr>
      <w:r>
        <w:t xml:space="preserve">V. </w:t>
      </w:r>
      <w:r>
        <w:rPr>
          <w:rFonts w:hint="eastAsia"/>
        </w:rPr>
        <w:tab/>
        <w:t>The</w:t>
      </w:r>
      <w:r>
        <w:t xml:space="preserve"> school has recruited overseas Chinese and international students to develop international connections within the campus. In 2015, the school only matriculated 5 overseas Chinese and international students; the number rose </w:t>
      </w:r>
      <w:r>
        <w:rPr>
          <w:rFonts w:hint="eastAsia"/>
        </w:rPr>
        <w:t xml:space="preserve">up </w:t>
      </w:r>
      <w:r>
        <w:t xml:space="preserve">to 266 in 2020. Most </w:t>
      </w:r>
      <w:r>
        <w:rPr>
          <w:rFonts w:hint="eastAsia"/>
        </w:rPr>
        <w:t>were</w:t>
      </w:r>
      <w:r>
        <w:t xml:space="preserve"> from Vietnam, Malaysia, Macau, and Hong Kong.</w:t>
      </w:r>
    </w:p>
    <w:p w:rsidR="001547ED" w:rsidRPr="00352B92" w:rsidRDefault="001547ED" w:rsidP="001547ED">
      <w:pPr>
        <w:spacing w:line="260" w:lineRule="exact"/>
        <w:ind w:left="708" w:hangingChars="295" w:hanging="708"/>
        <w:jc w:val="both"/>
      </w:pPr>
      <w:r>
        <w:t xml:space="preserve">VI. </w:t>
      </w:r>
      <w:r>
        <w:rPr>
          <w:rFonts w:hint="eastAsia"/>
        </w:rPr>
        <w:tab/>
        <w:t xml:space="preserve">The </w:t>
      </w:r>
      <w:r>
        <w:t xml:space="preserve">disadvantaged students </w:t>
      </w:r>
      <w:r>
        <w:rPr>
          <w:rFonts w:hint="eastAsia"/>
        </w:rPr>
        <w:t xml:space="preserve">of </w:t>
      </w:r>
      <w:r>
        <w:t xml:space="preserve">669 economically or socially were </w:t>
      </w:r>
      <w:r>
        <w:rPr>
          <w:rFonts w:hint="eastAsia"/>
        </w:rPr>
        <w:t>granted</w:t>
      </w:r>
      <w:r>
        <w:t xml:space="preserve"> by the Sunshine </w:t>
      </w:r>
      <w:r w:rsidRPr="000D4D21">
        <w:t>scholarship</w:t>
      </w:r>
      <w:r>
        <w:t xml:space="preserve"> in 2020. </w:t>
      </w:r>
      <w:r>
        <w:rPr>
          <w:rFonts w:hint="eastAsia"/>
        </w:rPr>
        <w:t xml:space="preserve"> </w:t>
      </w:r>
      <w:r>
        <w:t>The spent budget was NT$ 2,554,885, and the budget implementation efficiency</w:t>
      </w:r>
      <w:r>
        <w:rPr>
          <w:rFonts w:hint="eastAsia"/>
        </w:rPr>
        <w:t xml:space="preserve"> rate was</w:t>
      </w:r>
      <w:r>
        <w:t xml:space="preserve"> 100.19%. </w:t>
      </w:r>
      <w:r>
        <w:rPr>
          <w:rFonts w:hint="eastAsia"/>
        </w:rPr>
        <w:t>However, t</w:t>
      </w:r>
      <w:r>
        <w:t xml:space="preserve">here were 780 economically or socially disadvantaged students in 2020, and the Sunshine project </w:t>
      </w:r>
      <w:r w:rsidRPr="00BC160A">
        <w:t>benefitting</w:t>
      </w:r>
      <w:r>
        <w:t xml:space="preserve"> 560 students </w:t>
      </w:r>
      <w:r>
        <w:rPr>
          <w:rFonts w:hint="eastAsia"/>
        </w:rPr>
        <w:t>out of 780 which rate was</w:t>
      </w:r>
      <w:r>
        <w:t xml:space="preserve">71.79%. </w:t>
      </w:r>
      <w:r>
        <w:rPr>
          <w:rFonts w:hint="eastAsia"/>
        </w:rPr>
        <w:t xml:space="preserve"> </w:t>
      </w:r>
      <w:r>
        <w:t>Both the number and the rate of the benefi</w:t>
      </w:r>
      <w:r>
        <w:rPr>
          <w:rFonts w:hint="eastAsia"/>
        </w:rPr>
        <w:t>cial</w:t>
      </w:r>
      <w:r>
        <w:t xml:space="preserve"> students rose.</w:t>
      </w:r>
    </w:p>
    <w:p w:rsidR="0014281E" w:rsidRPr="001547ED" w:rsidRDefault="0014281E">
      <w:pPr>
        <w:rPr>
          <w:rFonts w:hint="eastAsia"/>
        </w:rPr>
      </w:pPr>
    </w:p>
    <w:sectPr w:rsidR="0014281E" w:rsidRPr="001547ED" w:rsidSect="005C413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9F7" w:rsidRDefault="000C69F7" w:rsidP="00F53F4E">
      <w:r>
        <w:separator/>
      </w:r>
    </w:p>
  </w:endnote>
  <w:endnote w:type="continuationSeparator" w:id="0">
    <w:p w:rsidR="000C69F7" w:rsidRDefault="000C69F7" w:rsidP="00F5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9F7" w:rsidRDefault="000C69F7" w:rsidP="00F53F4E">
      <w:r>
        <w:separator/>
      </w:r>
    </w:p>
  </w:footnote>
  <w:footnote w:type="continuationSeparator" w:id="0">
    <w:p w:rsidR="000C69F7" w:rsidRDefault="000C69F7" w:rsidP="00F53F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511CC"/>
    <w:multiLevelType w:val="hybridMultilevel"/>
    <w:tmpl w:val="8346AE58"/>
    <w:lvl w:ilvl="0" w:tplc="58808302">
      <w:start w:val="1"/>
      <w:numFmt w:val="upperRoman"/>
      <w:lvlText w:val="%1."/>
      <w:lvlJc w:val="left"/>
      <w:pPr>
        <w:ind w:left="720" w:hanging="720"/>
      </w:pPr>
      <w:rPr>
        <w:rFonts w:hint="default"/>
      </w:rPr>
    </w:lvl>
    <w:lvl w:ilvl="1" w:tplc="04090019">
      <w:start w:val="1"/>
      <w:numFmt w:val="ideographTraditional"/>
      <w:lvlText w:val="%2、"/>
      <w:lvlJc w:val="left"/>
      <w:pPr>
        <w:ind w:left="960" w:hanging="480"/>
      </w:pPr>
    </w:lvl>
    <w:lvl w:ilvl="2" w:tplc="EE28FD1A">
      <w:start w:val="1"/>
      <w:numFmt w:val="decimal"/>
      <w:lvlText w:val="%3."/>
      <w:lvlJc w:val="left"/>
      <w:pPr>
        <w:ind w:left="1320" w:hanging="360"/>
      </w:pPr>
      <w:rPr>
        <w:rFonts w:hint="default"/>
        <w:color w:val="000000" w:themeColor="text1"/>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5934A13"/>
    <w:multiLevelType w:val="hybridMultilevel"/>
    <w:tmpl w:val="4192DC4A"/>
    <w:lvl w:ilvl="0" w:tplc="04090017">
      <w:start w:val="1"/>
      <w:numFmt w:val="ideographLegalTraditional"/>
      <w:lvlText w:val="%1、"/>
      <w:lvlJc w:val="left"/>
      <w:pPr>
        <w:ind w:left="480" w:hanging="480"/>
      </w:pPr>
      <w:rPr>
        <w:rFonts w:hint="eastAsia"/>
      </w:rPr>
    </w:lvl>
    <w:lvl w:ilvl="1" w:tplc="E7321EBA">
      <w:start w:val="1"/>
      <w:numFmt w:val="taiwaneseCountingThousand"/>
      <w:lvlText w:val="%2、"/>
      <w:lvlJc w:val="left"/>
      <w:pPr>
        <w:ind w:left="764" w:hanging="480"/>
      </w:pPr>
      <w:rPr>
        <w:rFonts w:hint="eastAsia"/>
      </w:rPr>
    </w:lvl>
    <w:lvl w:ilvl="2" w:tplc="0409000B">
      <w:start w:val="1"/>
      <w:numFmt w:val="bullet"/>
      <w:lvlText w:val=""/>
      <w:lvlJc w:val="left"/>
      <w:pPr>
        <w:ind w:left="1922" w:hanging="480"/>
      </w:pPr>
      <w:rPr>
        <w:rFonts w:ascii="Wingdings" w:hAnsi="Wingdings" w:hint="default"/>
      </w:r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139"/>
    <w:rsid w:val="00031CF3"/>
    <w:rsid w:val="000C69F7"/>
    <w:rsid w:val="0014281E"/>
    <w:rsid w:val="001547ED"/>
    <w:rsid w:val="00433F58"/>
    <w:rsid w:val="005C4139"/>
    <w:rsid w:val="006A31AD"/>
    <w:rsid w:val="00A36644"/>
    <w:rsid w:val="00C12CDD"/>
    <w:rsid w:val="00F53F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5EE04E-6A17-4658-BCD8-3EFFE0A6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13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
    <w:basedOn w:val="a"/>
    <w:link w:val="a4"/>
    <w:uiPriority w:val="34"/>
    <w:qFormat/>
    <w:rsid w:val="005C4139"/>
    <w:pPr>
      <w:widowControl/>
      <w:ind w:leftChars="200" w:left="480"/>
    </w:pPr>
    <w:rPr>
      <w:rFonts w:ascii="新細明體" w:eastAsia="新細明體" w:hAnsi="新細明體" w:cs="新細明體"/>
      <w:kern w:val="0"/>
      <w:szCs w:val="24"/>
    </w:rPr>
  </w:style>
  <w:style w:type="character" w:customStyle="1" w:styleId="a4">
    <w:name w:val="清單段落 字元"/>
    <w:aliases w:val="卑南壹 字元"/>
    <w:link w:val="a3"/>
    <w:uiPriority w:val="34"/>
    <w:rsid w:val="005C4139"/>
    <w:rPr>
      <w:rFonts w:ascii="新細明體" w:eastAsia="新細明體" w:hAnsi="新細明體" w:cs="新細明體"/>
      <w:kern w:val="0"/>
      <w:szCs w:val="24"/>
    </w:rPr>
  </w:style>
  <w:style w:type="paragraph" w:styleId="a5">
    <w:name w:val="header"/>
    <w:basedOn w:val="a"/>
    <w:link w:val="a6"/>
    <w:uiPriority w:val="99"/>
    <w:unhideWhenUsed/>
    <w:rsid w:val="00F53F4E"/>
    <w:pPr>
      <w:tabs>
        <w:tab w:val="center" w:pos="4153"/>
        <w:tab w:val="right" w:pos="8306"/>
      </w:tabs>
      <w:snapToGrid w:val="0"/>
    </w:pPr>
    <w:rPr>
      <w:sz w:val="20"/>
      <w:szCs w:val="20"/>
    </w:rPr>
  </w:style>
  <w:style w:type="character" w:customStyle="1" w:styleId="a6">
    <w:name w:val="頁首 字元"/>
    <w:basedOn w:val="a0"/>
    <w:link w:val="a5"/>
    <w:uiPriority w:val="99"/>
    <w:rsid w:val="00F53F4E"/>
    <w:rPr>
      <w:sz w:val="20"/>
      <w:szCs w:val="20"/>
    </w:rPr>
  </w:style>
  <w:style w:type="paragraph" w:styleId="a7">
    <w:name w:val="footer"/>
    <w:basedOn w:val="a"/>
    <w:link w:val="a8"/>
    <w:uiPriority w:val="99"/>
    <w:unhideWhenUsed/>
    <w:rsid w:val="00F53F4E"/>
    <w:pPr>
      <w:tabs>
        <w:tab w:val="center" w:pos="4153"/>
        <w:tab w:val="right" w:pos="8306"/>
      </w:tabs>
      <w:snapToGrid w:val="0"/>
    </w:pPr>
    <w:rPr>
      <w:sz w:val="20"/>
      <w:szCs w:val="20"/>
    </w:rPr>
  </w:style>
  <w:style w:type="character" w:customStyle="1" w:styleId="a8">
    <w:name w:val="頁尾 字元"/>
    <w:basedOn w:val="a0"/>
    <w:link w:val="a7"/>
    <w:uiPriority w:val="99"/>
    <w:rsid w:val="00F53F4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4748</Characters>
  <Application>Microsoft Office Word</Application>
  <DocSecurity>0</DocSecurity>
  <Lines>39</Lines>
  <Paragraphs>11</Paragraphs>
  <ScaleCrop>false</ScaleCrop>
  <Company/>
  <LinksUpToDate>false</LinksUpToDate>
  <CharactersWithSpaces>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4</cp:revision>
  <dcterms:created xsi:type="dcterms:W3CDTF">2021-01-20T08:20:00Z</dcterms:created>
  <dcterms:modified xsi:type="dcterms:W3CDTF">2021-01-20T08:21:00Z</dcterms:modified>
</cp:coreProperties>
</file>